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0" w:type="dxa"/>
        <w:tblInd w:w="-34" w:type="dxa"/>
        <w:tblLook w:val="01E0" w:firstRow="1" w:lastRow="1" w:firstColumn="1" w:lastColumn="1" w:noHBand="0" w:noVBand="0"/>
      </w:tblPr>
      <w:tblGrid>
        <w:gridCol w:w="3153"/>
        <w:gridCol w:w="6237"/>
      </w:tblGrid>
      <w:tr w:rsidR="00633226" w:rsidRPr="00592C9A" w14:paraId="1A32B635" w14:textId="77777777" w:rsidTr="0041065D">
        <w:trPr>
          <w:trHeight w:val="1020"/>
        </w:trPr>
        <w:tc>
          <w:tcPr>
            <w:tcW w:w="3153" w:type="dxa"/>
          </w:tcPr>
          <w:p w14:paraId="452F3F53" w14:textId="77777777" w:rsidR="00633226" w:rsidRPr="00592C9A" w:rsidRDefault="00633226" w:rsidP="0041065D">
            <w:pPr>
              <w:pStyle w:val="Subtitle"/>
              <w:tabs>
                <w:tab w:val="left" w:pos="720"/>
              </w:tabs>
              <w:outlineLvl w:val="0"/>
              <w:rPr>
                <w:rFonts w:ascii="Times New Roman" w:hAnsi="Times New Roman" w:cs="Times New Roman"/>
                <w:b w:val="0"/>
                <w:lang w:val="fr-FR"/>
              </w:rPr>
            </w:pPr>
            <w:r w:rsidRPr="00DC3AAA">
              <w:rPr>
                <w:b w:val="0"/>
                <w:bCs w:val="0"/>
                <w:sz w:val="26"/>
                <w:szCs w:val="26"/>
                <w:lang w:val="fr-FR"/>
              </w:rPr>
              <w:br w:type="page"/>
            </w:r>
            <w:r w:rsidRPr="00592C9A">
              <w:rPr>
                <w:rFonts w:ascii="Times New Roman" w:hAnsi="Times New Roman" w:cs="Times New Roman"/>
                <w:lang w:val="fr-FR"/>
              </w:rPr>
              <w:t>BỘ Y TẾ</w:t>
            </w:r>
          </w:p>
          <w:p w14:paraId="409D317D" w14:textId="77777777" w:rsidR="00633226" w:rsidRPr="00592C9A" w:rsidRDefault="00633226" w:rsidP="0041065D">
            <w:pPr>
              <w:pStyle w:val="Subtitle"/>
              <w:tabs>
                <w:tab w:val="left" w:pos="720"/>
              </w:tabs>
              <w:outlineLvl w:val="0"/>
              <w:rPr>
                <w:b w:val="0"/>
                <w:i/>
              </w:rPr>
            </w:pPr>
            <w:r>
              <w:rPr>
                <w:b w:val="0"/>
                <w:i/>
                <w:noProof/>
              </w:rPr>
              <mc:AlternateContent>
                <mc:Choice Requires="wps">
                  <w:drawing>
                    <wp:anchor distT="0" distB="0" distL="114300" distR="114300" simplePos="0" relativeHeight="251661312" behindDoc="0" locked="0" layoutInCell="1" allowOverlap="1" wp14:anchorId="21092601" wp14:editId="7703CA27">
                      <wp:simplePos x="0" y="0"/>
                      <wp:positionH relativeFrom="column">
                        <wp:posOffset>675005</wp:posOffset>
                      </wp:positionH>
                      <wp:positionV relativeFrom="paragraph">
                        <wp:posOffset>27940</wp:posOffset>
                      </wp:positionV>
                      <wp:extent cx="533400" cy="0"/>
                      <wp:effectExtent l="9525" t="9525"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80192" id="_x0000_t32" coordsize="21600,21600" o:spt="32" o:oned="t" path="m,l21600,21600e" filled="f">
                      <v:path arrowok="t" fillok="f" o:connecttype="none"/>
                      <o:lock v:ext="edit" shapetype="t"/>
                    </v:shapetype>
                    <v:shape id="AutoShape 5" o:spid="_x0000_s1026" type="#_x0000_t32" style="position:absolute;margin-left:53.15pt;margin-top:2.2pt;width:4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xltwEAAFU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"/>
                  </w:pict>
                </mc:Fallback>
              </mc:AlternateContent>
            </w:r>
          </w:p>
        </w:tc>
        <w:tc>
          <w:tcPr>
            <w:tcW w:w="6237" w:type="dxa"/>
          </w:tcPr>
          <w:p w14:paraId="6980562F" w14:textId="77777777" w:rsidR="00633226" w:rsidRPr="00592C9A" w:rsidRDefault="00633226" w:rsidP="0041065D">
            <w:pPr>
              <w:tabs>
                <w:tab w:val="left" w:pos="720"/>
              </w:tabs>
              <w:jc w:val="center"/>
              <w:outlineLvl w:val="0"/>
              <w:rPr>
                <w:b/>
                <w:bCs/>
                <w:sz w:val="28"/>
                <w:szCs w:val="28"/>
              </w:rPr>
            </w:pPr>
            <w:r w:rsidRPr="00592C9A">
              <w:rPr>
                <w:b/>
                <w:bCs/>
                <w:sz w:val="28"/>
                <w:szCs w:val="28"/>
              </w:rPr>
              <w:t>CỘNG HÒA XÃ HỘI CHỦ NGHĨA VIỆT NAM</w:t>
            </w:r>
          </w:p>
          <w:p w14:paraId="7B7737BD" w14:textId="77777777" w:rsidR="00633226" w:rsidRPr="00592C9A" w:rsidRDefault="00633226" w:rsidP="0041065D">
            <w:pPr>
              <w:tabs>
                <w:tab w:val="left" w:pos="720"/>
              </w:tabs>
              <w:jc w:val="center"/>
              <w:outlineLvl w:val="0"/>
              <w:rPr>
                <w:b/>
                <w:bCs/>
                <w:sz w:val="28"/>
                <w:szCs w:val="28"/>
              </w:rPr>
            </w:pPr>
            <w:r w:rsidRPr="00592C9A">
              <w:rPr>
                <w:b/>
                <w:bCs/>
                <w:sz w:val="28"/>
                <w:szCs w:val="28"/>
              </w:rPr>
              <w:t>Độc lập - Tự do - Hạnh phúc</w:t>
            </w:r>
          </w:p>
          <w:p w14:paraId="27A258BB" w14:textId="77777777" w:rsidR="00633226" w:rsidRPr="00592C9A" w:rsidRDefault="00633226" w:rsidP="0041065D">
            <w:pPr>
              <w:tabs>
                <w:tab w:val="left" w:pos="720"/>
              </w:tabs>
              <w:jc w:val="center"/>
              <w:outlineLvl w:val="0"/>
              <w:rPr>
                <w:b/>
                <w:bCs/>
                <w:sz w:val="28"/>
                <w:szCs w:val="28"/>
              </w:rPr>
            </w:pPr>
            <w:r>
              <w:rPr>
                <w:noProof/>
              </w:rPr>
              <mc:AlternateContent>
                <mc:Choice Requires="wps">
                  <w:drawing>
                    <wp:anchor distT="4294967295" distB="4294967295" distL="114300" distR="114300" simplePos="0" relativeHeight="251660288" behindDoc="0" locked="0" layoutInCell="1" allowOverlap="1" wp14:anchorId="676F398B" wp14:editId="30FF819B">
                      <wp:simplePos x="0" y="0"/>
                      <wp:positionH relativeFrom="column">
                        <wp:posOffset>1137920</wp:posOffset>
                      </wp:positionH>
                      <wp:positionV relativeFrom="paragraph">
                        <wp:posOffset>41909</wp:posOffset>
                      </wp:positionV>
                      <wp:extent cx="1543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43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3D27E9"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9.6pt,3.3pt" to="211.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" strokecolor="windowText" strokeweight=".5pt">
                      <v:stroke joinstyle="miter"/>
                      <o:lock v:ext="edit" shapetype="f"/>
                    </v:line>
                  </w:pict>
                </mc:Fallback>
              </mc:AlternateContent>
            </w:r>
          </w:p>
        </w:tc>
      </w:tr>
      <w:tr w:rsidR="00633226" w:rsidRPr="00592C9A" w14:paraId="3082094D" w14:textId="77777777" w:rsidTr="0041065D">
        <w:trPr>
          <w:trHeight w:val="650"/>
        </w:trPr>
        <w:tc>
          <w:tcPr>
            <w:tcW w:w="3153" w:type="dxa"/>
          </w:tcPr>
          <w:p w14:paraId="2684D28B" w14:textId="77777777" w:rsidR="00633226" w:rsidRPr="00592C9A" w:rsidRDefault="00633226" w:rsidP="0041065D">
            <w:pPr>
              <w:tabs>
                <w:tab w:val="left" w:pos="720"/>
              </w:tabs>
              <w:jc w:val="center"/>
              <w:rPr>
                <w:sz w:val="28"/>
                <w:szCs w:val="28"/>
              </w:rPr>
            </w:pPr>
            <w:r w:rsidRPr="00592C9A">
              <w:rPr>
                <w:sz w:val="28"/>
                <w:szCs w:val="28"/>
              </w:rPr>
              <w:t>Số:         /202</w:t>
            </w:r>
            <w:r w:rsidRPr="00592C9A">
              <w:rPr>
                <w:sz w:val="28"/>
                <w:szCs w:val="28"/>
                <w:lang w:val="vi-VN"/>
              </w:rPr>
              <w:t>4</w:t>
            </w:r>
            <w:r w:rsidRPr="00592C9A">
              <w:rPr>
                <w:sz w:val="28"/>
                <w:szCs w:val="28"/>
              </w:rPr>
              <w:t>/TT-BYT</w:t>
            </w:r>
          </w:p>
        </w:tc>
        <w:tc>
          <w:tcPr>
            <w:tcW w:w="6237" w:type="dxa"/>
          </w:tcPr>
          <w:p w14:paraId="508DD651" w14:textId="77777777" w:rsidR="00633226" w:rsidRPr="00592C9A" w:rsidRDefault="00633226" w:rsidP="0041065D">
            <w:pPr>
              <w:tabs>
                <w:tab w:val="left" w:pos="720"/>
              </w:tabs>
              <w:jc w:val="center"/>
              <w:rPr>
                <w:i/>
                <w:iCs/>
                <w:sz w:val="28"/>
                <w:szCs w:val="28"/>
                <w:lang w:val="vi-VN"/>
              </w:rPr>
            </w:pPr>
            <w:r w:rsidRPr="00592C9A">
              <w:rPr>
                <w:i/>
                <w:iCs/>
                <w:sz w:val="28"/>
                <w:szCs w:val="28"/>
              </w:rPr>
              <w:t xml:space="preserve">Hà Nội, ngày        tháng </w:t>
            </w:r>
            <w:r>
              <w:rPr>
                <w:i/>
                <w:iCs/>
                <w:sz w:val="28"/>
                <w:szCs w:val="28"/>
              </w:rPr>
              <w:t xml:space="preserve">  </w:t>
            </w:r>
            <w:r w:rsidRPr="00592C9A">
              <w:rPr>
                <w:i/>
                <w:iCs/>
                <w:sz w:val="28"/>
                <w:szCs w:val="28"/>
              </w:rPr>
              <w:t xml:space="preserve">    năm 202</w:t>
            </w:r>
            <w:r w:rsidRPr="00592C9A">
              <w:rPr>
                <w:i/>
                <w:iCs/>
                <w:sz w:val="28"/>
                <w:szCs w:val="28"/>
                <w:lang w:val="vi-VN"/>
              </w:rPr>
              <w:t>4</w:t>
            </w:r>
          </w:p>
          <w:p w14:paraId="6C63C7A0" w14:textId="77777777" w:rsidR="00633226" w:rsidRPr="00592C9A" w:rsidRDefault="00633226" w:rsidP="0041065D">
            <w:pPr>
              <w:tabs>
                <w:tab w:val="left" w:pos="720"/>
              </w:tabs>
              <w:jc w:val="center"/>
              <w:rPr>
                <w:i/>
                <w:iCs/>
                <w:sz w:val="28"/>
                <w:szCs w:val="28"/>
                <w:lang w:val="vi-VN"/>
              </w:rPr>
            </w:pPr>
          </w:p>
          <w:p w14:paraId="4AEE3C09" w14:textId="77777777" w:rsidR="00633226" w:rsidRPr="00592C9A" w:rsidRDefault="00633226" w:rsidP="0041065D">
            <w:pPr>
              <w:tabs>
                <w:tab w:val="left" w:pos="720"/>
              </w:tabs>
              <w:jc w:val="center"/>
              <w:rPr>
                <w:i/>
                <w:iCs/>
                <w:sz w:val="28"/>
                <w:szCs w:val="28"/>
              </w:rPr>
            </w:pPr>
          </w:p>
        </w:tc>
      </w:tr>
    </w:tbl>
    <w:p w14:paraId="07AB9542" w14:textId="77777777" w:rsidR="00633226" w:rsidRPr="00592C9A" w:rsidRDefault="00633226" w:rsidP="00633226">
      <w:pPr>
        <w:tabs>
          <w:tab w:val="left" w:pos="720"/>
        </w:tabs>
        <w:spacing w:before="240"/>
        <w:jc w:val="center"/>
        <w:rPr>
          <w:b/>
          <w:bCs/>
        </w:rPr>
      </w:pPr>
      <w:r>
        <w:rPr>
          <w:noProof/>
        </w:rPr>
        <mc:AlternateContent>
          <mc:Choice Requires="wps">
            <w:drawing>
              <wp:anchor distT="0" distB="0" distL="114300" distR="114300" simplePos="0" relativeHeight="251659264" behindDoc="0" locked="0" layoutInCell="1" allowOverlap="1" wp14:anchorId="551BF7AA" wp14:editId="2CF9253A">
                <wp:simplePos x="0" y="0"/>
                <wp:positionH relativeFrom="column">
                  <wp:posOffset>-257175</wp:posOffset>
                </wp:positionH>
                <wp:positionV relativeFrom="paragraph">
                  <wp:posOffset>-381000</wp:posOffset>
                </wp:positionV>
                <wp:extent cx="1421130" cy="552450"/>
                <wp:effectExtent l="0" t="0" r="2667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1130" cy="5524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5C1F7A78" w14:textId="77777777" w:rsidR="00633226" w:rsidRDefault="00633226" w:rsidP="00633226">
                            <w:pPr>
                              <w:shd w:val="clear" w:color="auto" w:fill="FFFFFF"/>
                              <w:jc w:val="center"/>
                              <w:rPr>
                                <w:b/>
                                <w:bCs/>
                                <w:sz w:val="28"/>
                                <w:szCs w:val="28"/>
                              </w:rPr>
                            </w:pPr>
                            <w:r w:rsidRPr="00B44B71">
                              <w:rPr>
                                <w:b/>
                                <w:bCs/>
                                <w:sz w:val="28"/>
                                <w:szCs w:val="28"/>
                              </w:rPr>
                              <w:t>DỰ THẢO</w:t>
                            </w:r>
                          </w:p>
                          <w:p w14:paraId="3EAA2AA8" w14:textId="02910C29" w:rsidR="00633226" w:rsidRPr="0041065D" w:rsidRDefault="00633226" w:rsidP="00633226">
                            <w:pPr>
                              <w:shd w:val="clear" w:color="auto" w:fill="FFFFFF"/>
                              <w:jc w:val="center"/>
                              <w:rPr>
                                <w:b/>
                                <w:bCs/>
                                <w:sz w:val="28"/>
                                <w:szCs w:val="28"/>
                                <w:lang w:val="vi-VN"/>
                              </w:rPr>
                            </w:pPr>
                            <w:r>
                              <w:rPr>
                                <w:b/>
                                <w:bCs/>
                                <w:sz w:val="28"/>
                                <w:szCs w:val="28"/>
                              </w:rPr>
                              <w:t>14</w:t>
                            </w:r>
                            <w:r>
                              <w:rPr>
                                <w:b/>
                                <w:bCs/>
                                <w:sz w:val="28"/>
                                <w:szCs w:val="28"/>
                              </w:rPr>
                              <w:t>/</w:t>
                            </w:r>
                            <w:r>
                              <w:rPr>
                                <w:b/>
                                <w:bCs/>
                                <w:sz w:val="28"/>
                                <w:szCs w:val="28"/>
                                <w:lang w:val="vi-VN"/>
                              </w:rPr>
                              <w:t>10</w:t>
                            </w:r>
                            <w:r>
                              <w:rPr>
                                <w:b/>
                                <w:bCs/>
                                <w:sz w:val="28"/>
                                <w:szCs w:val="28"/>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BF7AA" id="Rectangle 1" o:spid="_x0000_s1026" style="position:absolute;left:0;text-align:left;margin-left:-20.25pt;margin-top:-30pt;width:111.9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" fillcolor="window" strokecolor="#2f528f" strokeweight="1pt">
                <v:path arrowok="t"/>
                <v:textbox>
                  <w:txbxContent>
                    <w:p w14:paraId="5C1F7A78" w14:textId="77777777" w:rsidR="00633226" w:rsidRDefault="00633226" w:rsidP="00633226">
                      <w:pPr>
                        <w:shd w:val="clear" w:color="auto" w:fill="FFFFFF"/>
                        <w:jc w:val="center"/>
                        <w:rPr>
                          <w:b/>
                          <w:bCs/>
                          <w:sz w:val="28"/>
                          <w:szCs w:val="28"/>
                        </w:rPr>
                      </w:pPr>
                      <w:r w:rsidRPr="00B44B71">
                        <w:rPr>
                          <w:b/>
                          <w:bCs/>
                          <w:sz w:val="28"/>
                          <w:szCs w:val="28"/>
                        </w:rPr>
                        <w:t>DỰ THẢO</w:t>
                      </w:r>
                    </w:p>
                    <w:p w14:paraId="3EAA2AA8" w14:textId="02910C29" w:rsidR="00633226" w:rsidRPr="0041065D" w:rsidRDefault="00633226" w:rsidP="00633226">
                      <w:pPr>
                        <w:shd w:val="clear" w:color="auto" w:fill="FFFFFF"/>
                        <w:jc w:val="center"/>
                        <w:rPr>
                          <w:b/>
                          <w:bCs/>
                          <w:sz w:val="28"/>
                          <w:szCs w:val="28"/>
                          <w:lang w:val="vi-VN"/>
                        </w:rPr>
                      </w:pPr>
                      <w:r>
                        <w:rPr>
                          <w:b/>
                          <w:bCs/>
                          <w:sz w:val="28"/>
                          <w:szCs w:val="28"/>
                        </w:rPr>
                        <w:t>14</w:t>
                      </w:r>
                      <w:r>
                        <w:rPr>
                          <w:b/>
                          <w:bCs/>
                          <w:sz w:val="28"/>
                          <w:szCs w:val="28"/>
                        </w:rPr>
                        <w:t>/</w:t>
                      </w:r>
                      <w:r>
                        <w:rPr>
                          <w:b/>
                          <w:bCs/>
                          <w:sz w:val="28"/>
                          <w:szCs w:val="28"/>
                          <w:lang w:val="vi-VN"/>
                        </w:rPr>
                        <w:t>10</w:t>
                      </w:r>
                      <w:r>
                        <w:rPr>
                          <w:b/>
                          <w:bCs/>
                          <w:sz w:val="28"/>
                          <w:szCs w:val="28"/>
                        </w:rPr>
                        <w:t>/2024</w:t>
                      </w:r>
                    </w:p>
                  </w:txbxContent>
                </v:textbox>
              </v:rect>
            </w:pict>
          </mc:Fallback>
        </mc:AlternateContent>
      </w:r>
      <w:r w:rsidRPr="00592C9A">
        <w:rPr>
          <w:b/>
          <w:bCs/>
          <w:sz w:val="28"/>
          <w:szCs w:val="28"/>
        </w:rPr>
        <w:t>THÔNG TƯ</w:t>
      </w:r>
    </w:p>
    <w:p w14:paraId="196C7864" w14:textId="6167EB08" w:rsidR="008F7889" w:rsidRDefault="008F7889" w:rsidP="00633226">
      <w:pPr>
        <w:tabs>
          <w:tab w:val="left" w:pos="720"/>
        </w:tabs>
        <w:jc w:val="center"/>
        <w:rPr>
          <w:b/>
          <w:sz w:val="28"/>
          <w:szCs w:val="28"/>
        </w:rPr>
      </w:pPr>
      <w:bookmarkStart w:id="0" w:name="loai_1_name"/>
      <w:r>
        <w:rPr>
          <w:b/>
          <w:sz w:val="28"/>
          <w:szCs w:val="28"/>
        </w:rPr>
        <w:t>B</w:t>
      </w:r>
      <w:r w:rsidRPr="008F7889">
        <w:rPr>
          <w:b/>
          <w:sz w:val="28"/>
          <w:szCs w:val="28"/>
        </w:rPr>
        <w:t>an hành danh mục và tỷ lệ, điều kiện thanh toán đối với thuốc hóa dược, sinh phẩm, thuốc phóng xạ và chất đánh dấu thuộc phạm vi được hưởng của người tham gia bảo hiểm y tế</w:t>
      </w:r>
      <w:bookmarkEnd w:id="0"/>
    </w:p>
    <w:p w14:paraId="2CA3B2BA" w14:textId="03601E06" w:rsidR="00633226" w:rsidRPr="00592C9A" w:rsidRDefault="00633226" w:rsidP="00633226">
      <w:pPr>
        <w:tabs>
          <w:tab w:val="left" w:pos="720"/>
        </w:tabs>
        <w:jc w:val="center"/>
        <w:rPr>
          <w:rFonts w:eastAsia="Arial"/>
          <w:i/>
          <w:noProof/>
          <w:sz w:val="28"/>
          <w:szCs w:val="28"/>
          <w:vertAlign w:val="superscript"/>
        </w:rPr>
      </w:pPr>
      <w:r w:rsidRPr="00592C9A">
        <w:rPr>
          <w:rStyle w:val="fontstyle01"/>
          <w:b/>
          <w:bCs/>
          <w:vertAlign w:val="superscript"/>
        </w:rPr>
        <w:t>_____________________</w:t>
      </w:r>
    </w:p>
    <w:p w14:paraId="1F0C42BE" w14:textId="77777777" w:rsidR="00633226" w:rsidRPr="00592C9A" w:rsidRDefault="00633226" w:rsidP="00633226">
      <w:pPr>
        <w:tabs>
          <w:tab w:val="left" w:pos="720"/>
          <w:tab w:val="left" w:pos="6663"/>
        </w:tabs>
        <w:spacing w:before="120" w:line="264" w:lineRule="auto"/>
        <w:ind w:firstLine="720"/>
        <w:jc w:val="both"/>
        <w:rPr>
          <w:i/>
          <w:sz w:val="28"/>
          <w:szCs w:val="28"/>
          <w:lang w:val="pt-BR"/>
        </w:rPr>
      </w:pPr>
      <w:r w:rsidRPr="00592C9A">
        <w:rPr>
          <w:rFonts w:eastAsia="Arial"/>
          <w:i/>
          <w:noProof/>
          <w:spacing w:val="2"/>
          <w:sz w:val="28"/>
          <w:szCs w:val="28"/>
        </w:rPr>
        <w:t>Căn cứ Luật bảo hiểm y tế ngày 14 tháng 11 năm 2008 và Luật sửa đổi, bổ sung một số điều của Luật Bảo hiểm y tế ngày 13 tháng 6 năm 2014</w:t>
      </w:r>
      <w:r w:rsidRPr="00592C9A">
        <w:rPr>
          <w:rFonts w:eastAsia="Arial"/>
          <w:i/>
          <w:noProof/>
          <w:sz w:val="28"/>
          <w:szCs w:val="28"/>
        </w:rPr>
        <w:t>;</w:t>
      </w:r>
    </w:p>
    <w:p w14:paraId="34693D34" w14:textId="77777777" w:rsidR="00633226" w:rsidRPr="00592C9A" w:rsidRDefault="00633226" w:rsidP="00633226">
      <w:pPr>
        <w:tabs>
          <w:tab w:val="left" w:pos="720"/>
          <w:tab w:val="left" w:pos="6663"/>
        </w:tabs>
        <w:spacing w:before="120" w:line="264" w:lineRule="auto"/>
        <w:ind w:firstLine="720"/>
        <w:jc w:val="both"/>
        <w:rPr>
          <w:i/>
          <w:sz w:val="28"/>
          <w:szCs w:val="28"/>
          <w:lang w:val="pt-BR"/>
        </w:rPr>
      </w:pPr>
      <w:r w:rsidRPr="00592C9A">
        <w:rPr>
          <w:i/>
          <w:sz w:val="28"/>
          <w:szCs w:val="28"/>
          <w:lang w:val="pt-BR"/>
        </w:rPr>
        <w:t>Căn cứ Nghị định số 146/2018/NĐ-CP ngày 17 tháng 10 năm 2018 của Chính phủ quy định chi tiết và hướng dẫn biện pháp thi hành một số điều của Luật bảo hiểm y tế và Nghị định số 75/2023/NĐ-CP ngày 19 tháng 10 năm 2023 của Chính phủ sửa đổi, bổ sung một số điều của Nghị định số 146/2018/NĐ-CP;</w:t>
      </w:r>
    </w:p>
    <w:p w14:paraId="445DC6FC" w14:textId="77777777" w:rsidR="00633226" w:rsidRPr="008F7889" w:rsidRDefault="00633226" w:rsidP="00633226">
      <w:pPr>
        <w:tabs>
          <w:tab w:val="left" w:pos="720"/>
          <w:tab w:val="left" w:pos="6663"/>
        </w:tabs>
        <w:spacing w:before="120" w:line="264" w:lineRule="auto"/>
        <w:ind w:firstLine="720"/>
        <w:jc w:val="both"/>
        <w:rPr>
          <w:i/>
          <w:sz w:val="28"/>
          <w:szCs w:val="28"/>
          <w:lang w:val="pt-BR"/>
        </w:rPr>
      </w:pPr>
      <w:r w:rsidRPr="00EB36E6">
        <w:rPr>
          <w:i/>
          <w:spacing w:val="-6"/>
          <w:sz w:val="28"/>
          <w:szCs w:val="28"/>
          <w:lang w:val="pt-BR"/>
        </w:rPr>
        <w:t xml:space="preserve">Căn cứ Nghị định số 95/2022/NĐ-CP </w:t>
      </w:r>
      <w:r w:rsidRPr="00EB36E6">
        <w:rPr>
          <w:i/>
          <w:spacing w:val="-6"/>
          <w:sz w:val="28"/>
          <w:szCs w:val="28"/>
          <w:lang w:val="nl-NL"/>
        </w:rPr>
        <w:t>ngày 15</w:t>
      </w:r>
      <w:r w:rsidRPr="00EB36E6">
        <w:rPr>
          <w:i/>
          <w:spacing w:val="-6"/>
          <w:sz w:val="28"/>
          <w:szCs w:val="28"/>
          <w:lang w:val="pt-BR"/>
        </w:rPr>
        <w:t xml:space="preserve"> tháng 11 năm </w:t>
      </w:r>
      <w:r w:rsidRPr="00EB36E6">
        <w:rPr>
          <w:i/>
          <w:spacing w:val="-6"/>
          <w:sz w:val="28"/>
          <w:szCs w:val="28"/>
          <w:lang w:val="nl-NL"/>
        </w:rPr>
        <w:t xml:space="preserve">2022 của Chính </w:t>
      </w:r>
      <w:r w:rsidRPr="008F7889">
        <w:rPr>
          <w:i/>
          <w:sz w:val="28"/>
          <w:szCs w:val="28"/>
          <w:lang w:val="pt-BR"/>
        </w:rPr>
        <w:t>phủ quy định chức năng, nhiệm vụ, quyền hạn và cơ cấu tổ chức của Bộ Y tế;</w:t>
      </w:r>
    </w:p>
    <w:p w14:paraId="5CA79C3E" w14:textId="77777777" w:rsidR="00633226" w:rsidRPr="008F7889" w:rsidRDefault="00633226" w:rsidP="00633226">
      <w:pPr>
        <w:tabs>
          <w:tab w:val="left" w:pos="720"/>
          <w:tab w:val="left" w:pos="6663"/>
        </w:tabs>
        <w:spacing w:before="120" w:line="264" w:lineRule="auto"/>
        <w:ind w:firstLine="720"/>
        <w:jc w:val="both"/>
        <w:rPr>
          <w:i/>
          <w:sz w:val="28"/>
          <w:szCs w:val="28"/>
          <w:lang w:val="pt-BR"/>
        </w:rPr>
      </w:pPr>
      <w:r w:rsidRPr="008F7889">
        <w:rPr>
          <w:i/>
          <w:sz w:val="28"/>
          <w:szCs w:val="28"/>
          <w:lang w:val="pt-BR"/>
        </w:rPr>
        <w:t>Theo đề nghị của Vụ trưởng Vụ Bảo hiểm y tế, Bộ Y tế,</w:t>
      </w:r>
    </w:p>
    <w:p w14:paraId="2521E98A" w14:textId="3163899D" w:rsidR="00633226" w:rsidRDefault="00633226" w:rsidP="008F7889">
      <w:pPr>
        <w:tabs>
          <w:tab w:val="left" w:pos="720"/>
          <w:tab w:val="left" w:pos="6663"/>
        </w:tabs>
        <w:spacing w:before="120" w:line="264" w:lineRule="auto"/>
        <w:ind w:firstLine="720"/>
        <w:jc w:val="both"/>
        <w:rPr>
          <w:i/>
          <w:iCs/>
          <w:sz w:val="28"/>
          <w:szCs w:val="28"/>
        </w:rPr>
      </w:pPr>
      <w:r w:rsidRPr="008F7889">
        <w:rPr>
          <w:i/>
          <w:sz w:val="28"/>
          <w:szCs w:val="28"/>
        </w:rPr>
        <w:t xml:space="preserve">Bộ trưởng Bộ Y tế ban hành Thông tư </w:t>
      </w:r>
      <w:r w:rsidR="008F7889" w:rsidRPr="008F7889">
        <w:rPr>
          <w:i/>
          <w:sz w:val="28"/>
          <w:szCs w:val="28"/>
          <w:lang w:val="pt-BR"/>
        </w:rPr>
        <w:t xml:space="preserve">ban hành </w:t>
      </w:r>
      <w:r w:rsidR="008F7889" w:rsidRPr="008F7889">
        <w:rPr>
          <w:i/>
          <w:sz w:val="28"/>
          <w:szCs w:val="28"/>
          <w:lang w:val="pt-BR"/>
        </w:rPr>
        <w:t>danh mục và tỷ lệ, điều kiện thanh toán đối với thuốc hóa dược, sinh phẩm, thuốc phóng xạ và chất đánh dấu thuộc phạm vi được hưởng của người tham gia bảo hiểm y tế</w:t>
      </w:r>
      <w:r w:rsidRPr="00C437B3">
        <w:rPr>
          <w:i/>
          <w:iCs/>
          <w:sz w:val="28"/>
          <w:szCs w:val="28"/>
          <w:lang w:val="vi-VN"/>
        </w:rPr>
        <w:t>,</w:t>
      </w:r>
    </w:p>
    <w:p w14:paraId="25025504" w14:textId="77777777" w:rsidR="00E977AA" w:rsidRPr="00E977AA" w:rsidRDefault="00E977AA" w:rsidP="008F7889">
      <w:pPr>
        <w:tabs>
          <w:tab w:val="left" w:pos="720"/>
          <w:tab w:val="left" w:pos="6663"/>
        </w:tabs>
        <w:spacing w:before="120" w:line="264" w:lineRule="auto"/>
        <w:ind w:firstLine="720"/>
        <w:jc w:val="both"/>
        <w:rPr>
          <w:i/>
          <w:iCs/>
          <w:sz w:val="28"/>
          <w:szCs w:val="28"/>
        </w:rPr>
      </w:pPr>
    </w:p>
    <w:p w14:paraId="612508CE" w14:textId="77777777" w:rsidR="008F7889" w:rsidRPr="008F7889" w:rsidRDefault="008F7889" w:rsidP="00E977AA">
      <w:pPr>
        <w:tabs>
          <w:tab w:val="left" w:pos="720"/>
          <w:tab w:val="left" w:pos="6663"/>
        </w:tabs>
        <w:spacing w:before="120" w:after="120"/>
        <w:ind w:firstLine="720"/>
        <w:jc w:val="both"/>
        <w:rPr>
          <w:iCs/>
          <w:sz w:val="28"/>
          <w:szCs w:val="28"/>
        </w:rPr>
      </w:pPr>
      <w:bookmarkStart w:id="1" w:name="dieu_1"/>
      <w:r w:rsidRPr="008F7889">
        <w:rPr>
          <w:b/>
          <w:bCs/>
          <w:iCs/>
          <w:sz w:val="28"/>
          <w:szCs w:val="28"/>
        </w:rPr>
        <w:t>Điều 1. Danh mục ban hành kèm theo Thông tư</w:t>
      </w:r>
      <w:bookmarkEnd w:id="1"/>
    </w:p>
    <w:p w14:paraId="64CFABD6" w14:textId="64B43C44" w:rsidR="008F7889" w:rsidRDefault="008F7889" w:rsidP="00E977AA">
      <w:pPr>
        <w:tabs>
          <w:tab w:val="left" w:pos="720"/>
          <w:tab w:val="left" w:pos="6663"/>
        </w:tabs>
        <w:spacing w:before="120" w:after="120"/>
        <w:ind w:firstLine="720"/>
        <w:jc w:val="both"/>
        <w:rPr>
          <w:iCs/>
          <w:sz w:val="28"/>
          <w:szCs w:val="28"/>
        </w:rPr>
      </w:pPr>
      <w:r w:rsidRPr="008F7889">
        <w:rPr>
          <w:iCs/>
          <w:sz w:val="28"/>
          <w:szCs w:val="28"/>
        </w:rPr>
        <w:t xml:space="preserve">1. Danh mục thuốc hóa dược và sinh phẩm thuộc phạm vi được hưởng của người tham gia bảo hiểm y tế </w:t>
      </w:r>
      <w:r>
        <w:rPr>
          <w:iCs/>
          <w:sz w:val="28"/>
          <w:szCs w:val="28"/>
        </w:rPr>
        <w:t xml:space="preserve">tại các cơ sở khám bệnh, chữa bệnh không bao gồm trạm y tế xã, phường, thị trấn (sau đây gọi là trạm y tế xã) </w:t>
      </w:r>
      <w:r w:rsidRPr="008F7889">
        <w:rPr>
          <w:iCs/>
          <w:sz w:val="28"/>
          <w:szCs w:val="28"/>
        </w:rPr>
        <w:t>được quy định tại </w:t>
      </w:r>
      <w:bookmarkStart w:id="2" w:name="bieumau_pl_1"/>
      <w:r w:rsidRPr="008F7889">
        <w:rPr>
          <w:iCs/>
          <w:sz w:val="28"/>
          <w:szCs w:val="28"/>
        </w:rPr>
        <w:t>Phụ lục I</w:t>
      </w:r>
      <w:bookmarkEnd w:id="2"/>
      <w:r w:rsidRPr="008F7889">
        <w:rPr>
          <w:iCs/>
          <w:sz w:val="28"/>
          <w:szCs w:val="28"/>
        </w:rPr>
        <w:t> ban hành kèm theo Thông tư này (sau đây gọi là </w:t>
      </w:r>
      <w:bookmarkStart w:id="3" w:name="bieumau_pl_1_1"/>
      <w:r w:rsidRPr="008F7889">
        <w:rPr>
          <w:iCs/>
          <w:sz w:val="28"/>
          <w:szCs w:val="28"/>
        </w:rPr>
        <w:t>Phụ lục I</w:t>
      </w:r>
      <w:bookmarkEnd w:id="3"/>
      <w:r w:rsidRPr="008F7889">
        <w:rPr>
          <w:iCs/>
          <w:sz w:val="28"/>
          <w:szCs w:val="28"/>
        </w:rPr>
        <w:t>).</w:t>
      </w:r>
    </w:p>
    <w:p w14:paraId="51719885" w14:textId="5DCF0D1D" w:rsidR="008F7889" w:rsidRPr="008F7889" w:rsidRDefault="008F7889" w:rsidP="00E977AA">
      <w:pPr>
        <w:tabs>
          <w:tab w:val="left" w:pos="720"/>
          <w:tab w:val="left" w:pos="6663"/>
        </w:tabs>
        <w:spacing w:before="120" w:after="120"/>
        <w:ind w:firstLine="720"/>
        <w:jc w:val="both"/>
        <w:rPr>
          <w:iCs/>
          <w:sz w:val="28"/>
          <w:szCs w:val="28"/>
        </w:rPr>
      </w:pPr>
      <w:r>
        <w:rPr>
          <w:iCs/>
          <w:sz w:val="28"/>
          <w:szCs w:val="28"/>
        </w:rPr>
        <w:t xml:space="preserve">2. </w:t>
      </w:r>
      <w:r w:rsidRPr="008F7889">
        <w:rPr>
          <w:iCs/>
          <w:sz w:val="28"/>
          <w:szCs w:val="28"/>
        </w:rPr>
        <w:t xml:space="preserve">Danh mục thuốc hóa dược và sinh phẩm thuộc phạm vi được hưởng của người tham gia bảo hiểm y tế </w:t>
      </w:r>
      <w:r>
        <w:rPr>
          <w:iCs/>
          <w:sz w:val="28"/>
          <w:szCs w:val="28"/>
        </w:rPr>
        <w:t xml:space="preserve">tại trạm y tế xã </w:t>
      </w:r>
      <w:r w:rsidRPr="008F7889">
        <w:rPr>
          <w:iCs/>
          <w:sz w:val="28"/>
          <w:szCs w:val="28"/>
        </w:rPr>
        <w:t>được quy định tại Phụ lục I</w:t>
      </w:r>
      <w:r>
        <w:rPr>
          <w:iCs/>
          <w:sz w:val="28"/>
          <w:szCs w:val="28"/>
        </w:rPr>
        <w:t>I</w:t>
      </w:r>
      <w:r w:rsidRPr="008F7889">
        <w:rPr>
          <w:iCs/>
          <w:sz w:val="28"/>
          <w:szCs w:val="28"/>
        </w:rPr>
        <w:t> ban hành kèm theo Thông tư này (sau đây gọi là Phụ lục I</w:t>
      </w:r>
      <w:r w:rsidR="00E977AA">
        <w:rPr>
          <w:iCs/>
          <w:sz w:val="28"/>
          <w:szCs w:val="28"/>
        </w:rPr>
        <w:t>I</w:t>
      </w:r>
      <w:r w:rsidRPr="008F7889">
        <w:rPr>
          <w:iCs/>
          <w:sz w:val="28"/>
          <w:szCs w:val="28"/>
        </w:rPr>
        <w:t>).</w:t>
      </w:r>
    </w:p>
    <w:p w14:paraId="0E002B41" w14:textId="12483FB0" w:rsidR="008F7889" w:rsidRDefault="008F7889" w:rsidP="00E977AA">
      <w:pPr>
        <w:tabs>
          <w:tab w:val="left" w:pos="720"/>
          <w:tab w:val="left" w:pos="6663"/>
        </w:tabs>
        <w:spacing w:before="120" w:after="120"/>
        <w:ind w:firstLine="720"/>
        <w:jc w:val="both"/>
        <w:rPr>
          <w:iCs/>
          <w:sz w:val="28"/>
          <w:szCs w:val="28"/>
        </w:rPr>
      </w:pPr>
      <w:r>
        <w:rPr>
          <w:iCs/>
          <w:sz w:val="28"/>
          <w:szCs w:val="28"/>
        </w:rPr>
        <w:t>3</w:t>
      </w:r>
      <w:r w:rsidRPr="008F7889">
        <w:rPr>
          <w:iCs/>
          <w:sz w:val="28"/>
          <w:szCs w:val="28"/>
        </w:rPr>
        <w:t>. Danh mục thuốc phóng xạ và chất đánh dấu thuộc phạm vi được hưởng của người tham gia bảo hiểm y tế được quy định tại </w:t>
      </w:r>
      <w:bookmarkStart w:id="4" w:name="bieumau_pl_2"/>
      <w:r w:rsidRPr="008F7889">
        <w:rPr>
          <w:iCs/>
          <w:sz w:val="28"/>
          <w:szCs w:val="28"/>
        </w:rPr>
        <w:t>Phụ lục II</w:t>
      </w:r>
      <w:bookmarkEnd w:id="4"/>
      <w:r>
        <w:rPr>
          <w:iCs/>
          <w:sz w:val="28"/>
          <w:szCs w:val="28"/>
        </w:rPr>
        <w:t>I</w:t>
      </w:r>
      <w:r w:rsidRPr="008F7889">
        <w:rPr>
          <w:iCs/>
          <w:sz w:val="28"/>
          <w:szCs w:val="28"/>
        </w:rPr>
        <w:t> ban hành kèm theo Thông tư này (sau đây gọi là Phụ lục II</w:t>
      </w:r>
      <w:r>
        <w:rPr>
          <w:iCs/>
          <w:sz w:val="28"/>
          <w:szCs w:val="28"/>
        </w:rPr>
        <w:t>I</w:t>
      </w:r>
      <w:r w:rsidRPr="008F7889">
        <w:rPr>
          <w:iCs/>
          <w:sz w:val="28"/>
          <w:szCs w:val="28"/>
        </w:rPr>
        <w:t>).</w:t>
      </w:r>
    </w:p>
    <w:p w14:paraId="425C5A9E" w14:textId="7F95A196" w:rsidR="00E977AA" w:rsidRPr="00E977AA" w:rsidRDefault="00E977AA" w:rsidP="00E977AA">
      <w:pPr>
        <w:tabs>
          <w:tab w:val="left" w:pos="720"/>
          <w:tab w:val="left" w:pos="6663"/>
        </w:tabs>
        <w:spacing w:before="120" w:after="120"/>
        <w:ind w:firstLine="720"/>
        <w:jc w:val="both"/>
        <w:rPr>
          <w:b/>
          <w:bCs/>
          <w:iCs/>
          <w:sz w:val="28"/>
          <w:szCs w:val="28"/>
        </w:rPr>
      </w:pPr>
      <w:r w:rsidRPr="00E977AA">
        <w:rPr>
          <w:b/>
          <w:bCs/>
          <w:iCs/>
          <w:sz w:val="28"/>
          <w:szCs w:val="28"/>
        </w:rPr>
        <w:t>Điều 2. Tổ chức thực hiện</w:t>
      </w:r>
    </w:p>
    <w:p w14:paraId="0B005AC4" w14:textId="2D1B8EB4" w:rsidR="00E977AA" w:rsidRPr="0041065D" w:rsidRDefault="00E977AA" w:rsidP="00E977AA">
      <w:pPr>
        <w:pStyle w:val="NormalWeb"/>
        <w:spacing w:before="120" w:beforeAutospacing="0" w:after="120" w:afterAutospacing="0"/>
        <w:ind w:firstLine="720"/>
        <w:jc w:val="both"/>
        <w:rPr>
          <w:sz w:val="28"/>
          <w:szCs w:val="28"/>
        </w:rPr>
      </w:pPr>
      <w:r>
        <w:rPr>
          <w:sz w:val="28"/>
          <w:szCs w:val="28"/>
        </w:rPr>
        <w:t>1</w:t>
      </w:r>
      <w:r w:rsidRPr="0041065D">
        <w:rPr>
          <w:sz w:val="28"/>
          <w:szCs w:val="28"/>
        </w:rPr>
        <w:t>. Vụ Bảo hiểm y tế</w:t>
      </w:r>
      <w:r>
        <w:rPr>
          <w:sz w:val="28"/>
          <w:szCs w:val="28"/>
        </w:rPr>
        <w:t>, Bộ Y tế</w:t>
      </w:r>
      <w:r w:rsidRPr="0041065D">
        <w:rPr>
          <w:sz w:val="28"/>
          <w:szCs w:val="28"/>
        </w:rPr>
        <w:t xml:space="preserve"> có trách nhiệm:</w:t>
      </w:r>
    </w:p>
    <w:p w14:paraId="27A6B625" w14:textId="2B286CDA" w:rsidR="00E977AA" w:rsidRDefault="00E977AA" w:rsidP="00E977AA">
      <w:pPr>
        <w:pStyle w:val="NormalWeb"/>
        <w:spacing w:before="120" w:beforeAutospacing="0" w:after="120" w:afterAutospacing="0"/>
        <w:ind w:firstLine="720"/>
        <w:jc w:val="both"/>
        <w:rPr>
          <w:sz w:val="28"/>
          <w:szCs w:val="28"/>
        </w:rPr>
      </w:pPr>
      <w:r>
        <w:rPr>
          <w:sz w:val="28"/>
          <w:szCs w:val="28"/>
        </w:rPr>
        <w:lastRenderedPageBreak/>
        <w:t>a</w:t>
      </w:r>
      <w:r w:rsidRPr="0041065D">
        <w:rPr>
          <w:sz w:val="28"/>
          <w:szCs w:val="28"/>
        </w:rPr>
        <w:t xml:space="preserve">) </w:t>
      </w:r>
      <w:r w:rsidRPr="0077568C">
        <w:rPr>
          <w:sz w:val="28"/>
          <w:szCs w:val="28"/>
        </w:rPr>
        <w:t>Tổ chức rà soát để trình Bộ trưởng Bộ Y tế cập nhật danh mục thuốc nhằm bảo đảm sự phù hợp và đáp ứng nhu cầu điều trị và quyền lợi của người tham gia bảo hiểm y tế;</w:t>
      </w:r>
    </w:p>
    <w:p w14:paraId="41A67D79" w14:textId="77777777" w:rsidR="00E977AA" w:rsidRDefault="00E977AA" w:rsidP="00E977AA">
      <w:pPr>
        <w:pStyle w:val="NormalWeb"/>
        <w:spacing w:before="120" w:beforeAutospacing="0" w:after="120" w:afterAutospacing="0"/>
        <w:ind w:firstLine="720"/>
        <w:jc w:val="both"/>
        <w:rPr>
          <w:sz w:val="28"/>
          <w:szCs w:val="28"/>
        </w:rPr>
      </w:pPr>
      <w:r w:rsidRPr="0077568C">
        <w:rPr>
          <w:sz w:val="28"/>
          <w:szCs w:val="28"/>
        </w:rPr>
        <w:t>b) Tiếp nhận, tổng hợp, nghiên cứu và đánh giá các đề xuất sửa đổi và cập nhật danh mục từ cơ sở khám bệnh, chữa bệnh, cơ sở kinh doanh dược và các cơ quan, tổ chức, cá nhân; lấy ý kiến của Hội đồng chuyên môn, các tổ chức, chuyên gia về các nội dung liên quan đến an toàn, hiệu lực, hiệu quả và đánh giá kinh tế y tế đối với thuốc được đề xuất trong trường hợp cần thiết để xây dựng, cập nhật danh mục thuốc;</w:t>
      </w:r>
    </w:p>
    <w:p w14:paraId="468D4583" w14:textId="4BB65A9D" w:rsidR="00E977AA" w:rsidRDefault="00E977AA" w:rsidP="00E977AA">
      <w:pPr>
        <w:pStyle w:val="NormalWeb"/>
        <w:spacing w:before="120" w:beforeAutospacing="0" w:after="120" w:afterAutospacing="0"/>
        <w:ind w:firstLine="720"/>
        <w:jc w:val="both"/>
        <w:rPr>
          <w:sz w:val="28"/>
          <w:szCs w:val="28"/>
        </w:rPr>
      </w:pPr>
      <w:r>
        <w:rPr>
          <w:sz w:val="28"/>
          <w:szCs w:val="28"/>
        </w:rPr>
        <w:t>c</w:t>
      </w:r>
      <w:r w:rsidRPr="0077568C">
        <w:rPr>
          <w:sz w:val="28"/>
          <w:szCs w:val="28"/>
        </w:rPr>
        <w:t xml:space="preserve">) Đầu mối phối hợp với </w:t>
      </w:r>
      <w:r>
        <w:rPr>
          <w:sz w:val="28"/>
          <w:szCs w:val="28"/>
        </w:rPr>
        <w:t xml:space="preserve">Hội đồng chuyên môn </w:t>
      </w:r>
      <w:r w:rsidRPr="00636A7D">
        <w:rPr>
          <w:sz w:val="28"/>
          <w:szCs w:val="28"/>
          <w:lang w:val="vi-VN"/>
        </w:rPr>
        <w:t xml:space="preserve">tư vấn </w:t>
      </w:r>
      <w:r w:rsidRPr="00636A7D">
        <w:rPr>
          <w:sz w:val="28"/>
          <w:szCs w:val="28"/>
        </w:rPr>
        <w:t>về</w:t>
      </w:r>
      <w:r w:rsidRPr="00636A7D">
        <w:rPr>
          <w:sz w:val="28"/>
          <w:szCs w:val="28"/>
          <w:lang w:val="vi-VN"/>
        </w:rPr>
        <w:t xml:space="preserve"> danh mục thuốc</w:t>
      </w:r>
      <w:r w:rsidRPr="00636A7D">
        <w:rPr>
          <w:sz w:val="28"/>
          <w:szCs w:val="28"/>
        </w:rPr>
        <w:t xml:space="preserve"> </w:t>
      </w:r>
      <w:r>
        <w:rPr>
          <w:sz w:val="28"/>
          <w:szCs w:val="28"/>
        </w:rPr>
        <w:t xml:space="preserve">và </w:t>
      </w:r>
      <w:r w:rsidRPr="0077568C">
        <w:rPr>
          <w:sz w:val="28"/>
          <w:szCs w:val="28"/>
        </w:rPr>
        <w:t>các cơ quan, tổ chức có liên quan rà soát, xây dựng quyết định công bố các hội y khoa, dược khoa, hội bệnh học có uy tín làm căn cứ tham khảo các khuyến cáo để xây dựng, cập nhật danh mục thuốc trình Lãnh đạo Bộ Y tế ban hành.</w:t>
      </w:r>
    </w:p>
    <w:p w14:paraId="7CBBAE2F" w14:textId="5FCAB9AF" w:rsidR="00E977AA" w:rsidRPr="00E977AA" w:rsidRDefault="00E977AA" w:rsidP="00E977AA">
      <w:pPr>
        <w:pStyle w:val="NormalWeb"/>
        <w:spacing w:before="120" w:beforeAutospacing="0" w:after="120" w:afterAutospacing="0"/>
        <w:ind w:firstLine="720"/>
        <w:jc w:val="both"/>
        <w:rPr>
          <w:sz w:val="28"/>
          <w:szCs w:val="28"/>
        </w:rPr>
      </w:pPr>
      <w:r w:rsidRPr="00E977AA">
        <w:rPr>
          <w:sz w:val="28"/>
          <w:szCs w:val="28"/>
        </w:rPr>
        <w:t xml:space="preserve">2. Bảo hiểm xã hội Việt Nam có trách nhiệm </w:t>
      </w:r>
      <w:r>
        <w:rPr>
          <w:sz w:val="28"/>
          <w:szCs w:val="28"/>
        </w:rPr>
        <w:t>c</w:t>
      </w:r>
      <w:r w:rsidRPr="00E977AA">
        <w:rPr>
          <w:sz w:val="28"/>
          <w:szCs w:val="28"/>
        </w:rPr>
        <w:t>hỉ đạo, hướng dẫn, kiểm tra việc thực hiện Thông tư này đối với bảo hiểm xã hội các tỉnh, thành phố trực thuộc trung ương</w:t>
      </w:r>
      <w:r w:rsidR="00F66EB7">
        <w:rPr>
          <w:sz w:val="28"/>
          <w:szCs w:val="28"/>
        </w:rPr>
        <w:t>.</w:t>
      </w:r>
    </w:p>
    <w:p w14:paraId="3D45E1C8" w14:textId="77777777" w:rsidR="00E977AA" w:rsidRPr="00E977AA" w:rsidRDefault="00E977AA" w:rsidP="00E977AA">
      <w:pPr>
        <w:pStyle w:val="NormalWeb"/>
        <w:spacing w:before="120" w:beforeAutospacing="0" w:after="120" w:afterAutospacing="0"/>
        <w:ind w:firstLine="720"/>
        <w:jc w:val="both"/>
        <w:rPr>
          <w:sz w:val="28"/>
          <w:szCs w:val="28"/>
        </w:rPr>
      </w:pPr>
      <w:r w:rsidRPr="00E977AA">
        <w:rPr>
          <w:sz w:val="28"/>
          <w:szCs w:val="28"/>
        </w:rPr>
        <w:t>3. Sở Y tế các tỉnh, thành phố trực thuộc trung ương trách nhiệm chỉ đạo, hướng dẫn, phổ biến, thanh tra, kiểm tra, đánh giá, sơ kết và tổng kết việc thực hiện Thông tư này theo thẩm quyền.</w:t>
      </w:r>
    </w:p>
    <w:p w14:paraId="1697B8CE" w14:textId="70BDE832" w:rsidR="00E977AA" w:rsidRPr="00E977AA" w:rsidRDefault="00E977AA" w:rsidP="00E977AA">
      <w:pPr>
        <w:pStyle w:val="NormalWeb"/>
        <w:spacing w:before="120" w:beforeAutospacing="0" w:after="120" w:afterAutospacing="0"/>
        <w:ind w:firstLine="720"/>
        <w:jc w:val="both"/>
        <w:rPr>
          <w:sz w:val="28"/>
          <w:szCs w:val="28"/>
        </w:rPr>
      </w:pPr>
      <w:r>
        <w:rPr>
          <w:sz w:val="28"/>
          <w:szCs w:val="28"/>
        </w:rPr>
        <w:t>4</w:t>
      </w:r>
      <w:r w:rsidRPr="00E977AA">
        <w:rPr>
          <w:sz w:val="28"/>
          <w:szCs w:val="28"/>
        </w:rPr>
        <w:t>. Cơ sở khám bệnh, chữa bệnh có trách nhiệm:</w:t>
      </w:r>
    </w:p>
    <w:p w14:paraId="5599661D" w14:textId="2666AAA3" w:rsidR="00E977AA" w:rsidRPr="00E977AA" w:rsidRDefault="00E977AA" w:rsidP="00E977AA">
      <w:pPr>
        <w:pStyle w:val="NormalWeb"/>
        <w:spacing w:before="120" w:beforeAutospacing="0" w:after="120" w:afterAutospacing="0"/>
        <w:ind w:firstLine="720"/>
        <w:jc w:val="both"/>
        <w:rPr>
          <w:sz w:val="28"/>
          <w:szCs w:val="28"/>
        </w:rPr>
      </w:pPr>
      <w:r w:rsidRPr="00E977AA">
        <w:rPr>
          <w:sz w:val="28"/>
          <w:szCs w:val="28"/>
        </w:rPr>
        <w:t>a) Xây dựng danh mục thuốc hóa dược, sinh phẩm, thuốc phóng xạ và chất đánh dấu sử dụng tại đơn vị</w:t>
      </w:r>
      <w:r>
        <w:rPr>
          <w:sz w:val="28"/>
          <w:szCs w:val="28"/>
        </w:rPr>
        <w:t xml:space="preserve"> </w:t>
      </w:r>
      <w:r w:rsidRPr="00E977AA">
        <w:rPr>
          <w:sz w:val="28"/>
          <w:szCs w:val="28"/>
        </w:rPr>
        <w:t>và gửi cơ quan bảo hiểm xã hội nơi ký hợp đồng khám bệnh, chữa bệnh bảo hiểm y tế kèm theo kế hoạch lựa chọn nhà thầu, kết quả lựa chọn nhà thầu để làm cơ sở thanh toán chi phí khám bệnh, chữa bệnh bảo hiểm y tế;</w:t>
      </w:r>
    </w:p>
    <w:p w14:paraId="78EF57F9" w14:textId="77777777" w:rsidR="00E977AA" w:rsidRDefault="00E977AA" w:rsidP="00E977AA">
      <w:pPr>
        <w:pStyle w:val="NormalWeb"/>
        <w:spacing w:before="120" w:beforeAutospacing="0" w:after="120" w:afterAutospacing="0"/>
        <w:ind w:firstLine="720"/>
        <w:jc w:val="both"/>
        <w:rPr>
          <w:sz w:val="28"/>
          <w:szCs w:val="28"/>
        </w:rPr>
      </w:pPr>
      <w:r w:rsidRPr="00E977AA">
        <w:rPr>
          <w:sz w:val="28"/>
          <w:szCs w:val="28"/>
        </w:rPr>
        <w:t>b) Trường hợp có thay đổi hay bổ sung danh mục thuốc sử dụng tại đơn vị, cơ sở khám bệnh, chữa bệnh gửi danh mục thuốc sửa đổi, bổ sung cho cơ quan bảo hiểm xã hội nơi ký hợp đồng khám bệnh chữa bệnh bảo hiểm y tế để làm cơ sở thanh toán;</w:t>
      </w:r>
    </w:p>
    <w:p w14:paraId="43DA6274" w14:textId="6B7AA2B6" w:rsidR="00E977AA" w:rsidRPr="00E977AA" w:rsidRDefault="00E977AA" w:rsidP="00E977AA">
      <w:pPr>
        <w:pStyle w:val="NormalWeb"/>
        <w:spacing w:before="120" w:beforeAutospacing="0" w:after="120" w:afterAutospacing="0"/>
        <w:ind w:firstLine="720"/>
        <w:jc w:val="both"/>
        <w:rPr>
          <w:sz w:val="28"/>
          <w:szCs w:val="28"/>
        </w:rPr>
      </w:pPr>
      <w:r>
        <w:rPr>
          <w:sz w:val="28"/>
          <w:szCs w:val="28"/>
        </w:rPr>
        <w:t>c) Đề xuất sửa đổi, cập nhật thuốc vào các danh mục thuốc ban hành kèm theo Thông tư này khi có nhu cầu sử dụng và cung cấp thông tin theo yêu cầu của Bộ Y tế.</w:t>
      </w:r>
    </w:p>
    <w:p w14:paraId="0BDBEE9C" w14:textId="50C0388E" w:rsidR="008F7889" w:rsidRPr="008F7889" w:rsidRDefault="008F7889" w:rsidP="00E977AA">
      <w:pPr>
        <w:tabs>
          <w:tab w:val="left" w:pos="720"/>
          <w:tab w:val="left" w:pos="6663"/>
        </w:tabs>
        <w:spacing w:before="120" w:after="120"/>
        <w:ind w:firstLine="720"/>
        <w:jc w:val="both"/>
        <w:rPr>
          <w:iCs/>
          <w:sz w:val="28"/>
          <w:szCs w:val="28"/>
        </w:rPr>
      </w:pPr>
      <w:bookmarkStart w:id="5" w:name="dieu_7"/>
      <w:r w:rsidRPr="008F7889">
        <w:rPr>
          <w:b/>
          <w:bCs/>
          <w:iCs/>
          <w:sz w:val="28"/>
          <w:szCs w:val="28"/>
        </w:rPr>
        <w:t xml:space="preserve">Điều </w:t>
      </w:r>
      <w:r w:rsidR="00285C8C">
        <w:rPr>
          <w:b/>
          <w:bCs/>
          <w:iCs/>
          <w:sz w:val="28"/>
          <w:szCs w:val="28"/>
        </w:rPr>
        <w:t>3</w:t>
      </w:r>
      <w:r w:rsidRPr="008F7889">
        <w:rPr>
          <w:b/>
          <w:bCs/>
          <w:iCs/>
          <w:sz w:val="28"/>
          <w:szCs w:val="28"/>
        </w:rPr>
        <w:t>. Hiệu lực thi hành</w:t>
      </w:r>
      <w:bookmarkEnd w:id="5"/>
    </w:p>
    <w:p w14:paraId="0F5D9F48" w14:textId="3536E6BC" w:rsidR="008F7889" w:rsidRDefault="008F7889" w:rsidP="00E977AA">
      <w:pPr>
        <w:tabs>
          <w:tab w:val="left" w:pos="720"/>
          <w:tab w:val="left" w:pos="6663"/>
        </w:tabs>
        <w:spacing w:before="120" w:after="120"/>
        <w:ind w:firstLine="720"/>
        <w:jc w:val="both"/>
        <w:rPr>
          <w:iCs/>
          <w:sz w:val="28"/>
          <w:szCs w:val="28"/>
        </w:rPr>
      </w:pPr>
      <w:r w:rsidRPr="008F7889">
        <w:rPr>
          <w:iCs/>
          <w:sz w:val="28"/>
          <w:szCs w:val="28"/>
        </w:rPr>
        <w:t xml:space="preserve">1. Thông tư này có hiệu lực thi hành từ ngày  </w:t>
      </w:r>
      <w:r>
        <w:rPr>
          <w:iCs/>
          <w:sz w:val="28"/>
          <w:szCs w:val="28"/>
        </w:rPr>
        <w:t xml:space="preserve">    </w:t>
      </w:r>
      <w:r w:rsidRPr="008F7889">
        <w:rPr>
          <w:iCs/>
          <w:sz w:val="28"/>
          <w:szCs w:val="28"/>
        </w:rPr>
        <w:t xml:space="preserve">tháng </w:t>
      </w:r>
      <w:r>
        <w:rPr>
          <w:iCs/>
          <w:sz w:val="28"/>
          <w:szCs w:val="28"/>
        </w:rPr>
        <w:t xml:space="preserve">  </w:t>
      </w:r>
      <w:r w:rsidRPr="008F7889">
        <w:rPr>
          <w:iCs/>
          <w:sz w:val="28"/>
          <w:szCs w:val="28"/>
        </w:rPr>
        <w:t xml:space="preserve"> năm 202</w:t>
      </w:r>
      <w:r>
        <w:rPr>
          <w:iCs/>
          <w:sz w:val="28"/>
          <w:szCs w:val="28"/>
        </w:rPr>
        <w:t>5</w:t>
      </w:r>
      <w:r w:rsidRPr="008F7889">
        <w:rPr>
          <w:iCs/>
          <w:sz w:val="28"/>
          <w:szCs w:val="28"/>
        </w:rPr>
        <w:t>.</w:t>
      </w:r>
    </w:p>
    <w:p w14:paraId="77A96CB2" w14:textId="6F79E79E" w:rsidR="008F7889" w:rsidRDefault="008F7889" w:rsidP="00E977AA">
      <w:pPr>
        <w:tabs>
          <w:tab w:val="left" w:pos="720"/>
          <w:tab w:val="left" w:pos="6663"/>
        </w:tabs>
        <w:spacing w:before="120" w:after="120"/>
        <w:ind w:firstLine="720"/>
        <w:jc w:val="both"/>
        <w:rPr>
          <w:iCs/>
          <w:sz w:val="28"/>
          <w:szCs w:val="28"/>
        </w:rPr>
      </w:pPr>
      <w:r>
        <w:rPr>
          <w:iCs/>
          <w:sz w:val="28"/>
          <w:szCs w:val="28"/>
        </w:rPr>
        <w:t xml:space="preserve">2. </w:t>
      </w:r>
      <w:r w:rsidRPr="008F7889">
        <w:rPr>
          <w:iCs/>
          <w:sz w:val="28"/>
          <w:szCs w:val="28"/>
        </w:rPr>
        <w:t>Thông tư số </w:t>
      </w:r>
      <w:r>
        <w:rPr>
          <w:iCs/>
          <w:sz w:val="28"/>
          <w:szCs w:val="28"/>
        </w:rPr>
        <w:t xml:space="preserve">20/2022/TT-BYT </w:t>
      </w:r>
      <w:r w:rsidRPr="008F7889">
        <w:rPr>
          <w:iCs/>
          <w:sz w:val="28"/>
          <w:szCs w:val="28"/>
        </w:rPr>
        <w:t>ngày 3</w:t>
      </w:r>
      <w:r>
        <w:rPr>
          <w:iCs/>
          <w:sz w:val="28"/>
          <w:szCs w:val="28"/>
        </w:rPr>
        <w:t>1</w:t>
      </w:r>
      <w:r w:rsidRPr="008F7889">
        <w:rPr>
          <w:iCs/>
          <w:sz w:val="28"/>
          <w:szCs w:val="28"/>
        </w:rPr>
        <w:t xml:space="preserve"> tháng 1</w:t>
      </w:r>
      <w:r>
        <w:rPr>
          <w:iCs/>
          <w:sz w:val="28"/>
          <w:szCs w:val="28"/>
        </w:rPr>
        <w:t>2</w:t>
      </w:r>
      <w:r w:rsidRPr="008F7889">
        <w:rPr>
          <w:iCs/>
          <w:sz w:val="28"/>
          <w:szCs w:val="28"/>
        </w:rPr>
        <w:t xml:space="preserve"> năm 20</w:t>
      </w:r>
      <w:r>
        <w:rPr>
          <w:iCs/>
          <w:sz w:val="28"/>
          <w:szCs w:val="28"/>
        </w:rPr>
        <w:t>22</w:t>
      </w:r>
      <w:r w:rsidRPr="008F7889">
        <w:rPr>
          <w:iCs/>
          <w:sz w:val="28"/>
          <w:szCs w:val="28"/>
        </w:rPr>
        <w:t xml:space="preserve"> của Bộ trưởng Bộ Y tế ban hành Danh mục và tỷ lệ, điều kiện thanh toán đối với thuốc hóa dược, sinh phẩm, thuốc phóng xạ và chất đánh dấu thuộc phạm vi được hưởng của người tham gia bảo hiểm y tế</w:t>
      </w:r>
      <w:r>
        <w:rPr>
          <w:iCs/>
          <w:sz w:val="28"/>
          <w:szCs w:val="28"/>
        </w:rPr>
        <w:t xml:space="preserve"> </w:t>
      </w:r>
      <w:r w:rsidRPr="008F7889">
        <w:rPr>
          <w:iCs/>
          <w:sz w:val="28"/>
          <w:szCs w:val="28"/>
        </w:rPr>
        <w:t>hết hiệu lực thi hành kể từ ngày Thông tư này có hiệu lực.</w:t>
      </w:r>
    </w:p>
    <w:p w14:paraId="13E204F0" w14:textId="1DE9D093" w:rsidR="008F7889" w:rsidRPr="008F7889" w:rsidRDefault="008F7889" w:rsidP="00E977AA">
      <w:pPr>
        <w:tabs>
          <w:tab w:val="left" w:pos="720"/>
          <w:tab w:val="left" w:pos="6663"/>
        </w:tabs>
        <w:spacing w:before="120" w:after="120"/>
        <w:ind w:firstLine="720"/>
        <w:jc w:val="both"/>
        <w:rPr>
          <w:iCs/>
          <w:sz w:val="28"/>
          <w:szCs w:val="28"/>
        </w:rPr>
      </w:pPr>
      <w:bookmarkStart w:id="6" w:name="dieu_8"/>
      <w:r w:rsidRPr="008F7889">
        <w:rPr>
          <w:b/>
          <w:bCs/>
          <w:iCs/>
          <w:sz w:val="28"/>
          <w:szCs w:val="28"/>
        </w:rPr>
        <w:t xml:space="preserve">Điều </w:t>
      </w:r>
      <w:r w:rsidR="00285C8C">
        <w:rPr>
          <w:b/>
          <w:bCs/>
          <w:iCs/>
          <w:sz w:val="28"/>
          <w:szCs w:val="28"/>
        </w:rPr>
        <w:t>4</w:t>
      </w:r>
      <w:r w:rsidRPr="008F7889">
        <w:rPr>
          <w:b/>
          <w:bCs/>
          <w:iCs/>
          <w:sz w:val="28"/>
          <w:szCs w:val="28"/>
        </w:rPr>
        <w:t>. Quy định chuyển tiếp</w:t>
      </w:r>
      <w:bookmarkEnd w:id="6"/>
    </w:p>
    <w:p w14:paraId="60E43956" w14:textId="4A4E4DDE" w:rsidR="008F7889" w:rsidRPr="008F7889" w:rsidRDefault="008F7889" w:rsidP="00E977AA">
      <w:pPr>
        <w:tabs>
          <w:tab w:val="left" w:pos="720"/>
          <w:tab w:val="left" w:pos="6663"/>
        </w:tabs>
        <w:spacing w:before="120" w:after="120"/>
        <w:ind w:firstLine="720"/>
        <w:jc w:val="both"/>
        <w:rPr>
          <w:iCs/>
          <w:sz w:val="28"/>
          <w:szCs w:val="28"/>
        </w:rPr>
      </w:pPr>
      <w:r w:rsidRPr="008F7889">
        <w:rPr>
          <w:iCs/>
          <w:sz w:val="28"/>
          <w:szCs w:val="28"/>
        </w:rPr>
        <w:lastRenderedPageBreak/>
        <w:t>Trường hợp người bệnh có thẻ bảo hiểm y tế vào điều trị nội trú trước ngày Thông tư này có hiệu lực và phải tiếp tục điều trị tại cơ sở khám bệnh, chữa bệnh sau ngày Thông tư này có hiệu lực thì thực hiện theo quy định tại Thông tư này đối với toàn bộ đợt điều trị nội trú đó của người bệnh.</w:t>
      </w:r>
    </w:p>
    <w:p w14:paraId="05B4DFD5" w14:textId="77777777" w:rsidR="00E977AA" w:rsidRPr="00636A7D" w:rsidRDefault="00E977AA" w:rsidP="00E977AA">
      <w:pPr>
        <w:pStyle w:val="NormalWeb"/>
        <w:spacing w:before="120" w:beforeAutospacing="0" w:after="120" w:afterAutospacing="0" w:line="234" w:lineRule="atLeast"/>
        <w:ind w:firstLine="720"/>
        <w:jc w:val="both"/>
        <w:rPr>
          <w:sz w:val="28"/>
          <w:szCs w:val="28"/>
          <w:lang w:val="pt-BR"/>
        </w:rPr>
      </w:pPr>
      <w:r w:rsidRPr="00636A7D">
        <w:rPr>
          <w:sz w:val="28"/>
          <w:szCs w:val="28"/>
          <w:lang w:val="pt-BR"/>
        </w:rPr>
        <w:t>Trong quá trình tổ chức thực hiện, nếu có khó khăn vướng mắc đề nghị các cơ quan, tổ chức, cá nhân phản ánh về Bộ Y tế (Vụ Bảo hiểm y tế) để xem xét, giải quyết./.</w:t>
      </w:r>
    </w:p>
    <w:tbl>
      <w:tblPr>
        <w:tblW w:w="0" w:type="auto"/>
        <w:tblLook w:val="04A0" w:firstRow="1" w:lastRow="0" w:firstColumn="1" w:lastColumn="0" w:noHBand="0" w:noVBand="1"/>
      </w:tblPr>
      <w:tblGrid>
        <w:gridCol w:w="4528"/>
        <w:gridCol w:w="4544"/>
      </w:tblGrid>
      <w:tr w:rsidR="00E977AA" w:rsidRPr="00592C9A" w14:paraId="075BB0CA" w14:textId="77777777" w:rsidTr="0041065D">
        <w:tc>
          <w:tcPr>
            <w:tcW w:w="4644" w:type="dxa"/>
            <w:shd w:val="clear" w:color="auto" w:fill="auto"/>
          </w:tcPr>
          <w:p w14:paraId="06FBB50A" w14:textId="77777777" w:rsidR="00E977AA" w:rsidRPr="00592C9A" w:rsidRDefault="00E977AA" w:rsidP="0041065D">
            <w:pPr>
              <w:widowControl w:val="0"/>
              <w:spacing w:before="120" w:after="120"/>
              <w:rPr>
                <w:lang w:val="pt-BR"/>
              </w:rPr>
            </w:pPr>
            <w:r w:rsidRPr="00592C9A">
              <w:rPr>
                <w:b/>
                <w:bCs/>
                <w:i/>
                <w:iCs/>
                <w:shd w:val="clear" w:color="auto" w:fill="FFFFFF"/>
              </w:rPr>
              <w:t>Nơi nhận:</w:t>
            </w:r>
            <w:r w:rsidRPr="00592C9A">
              <w:rPr>
                <w:b/>
                <w:bCs/>
                <w:shd w:val="clear" w:color="auto" w:fill="FFFFFF"/>
              </w:rPr>
              <w:br/>
            </w:r>
            <w:r w:rsidRPr="00592C9A">
              <w:rPr>
                <w:shd w:val="clear" w:color="auto" w:fill="FFFFFF"/>
              </w:rPr>
              <w:br/>
              <w:t>- Thủ tướng Chính phủ (để báo cáo);</w:t>
            </w:r>
            <w:r w:rsidRPr="00592C9A">
              <w:rPr>
                <w:shd w:val="clear" w:color="auto" w:fill="FFFFFF"/>
              </w:rPr>
              <w:br/>
              <w:t>- PTTg CP.</w:t>
            </w:r>
            <w:r w:rsidRPr="00592C9A">
              <w:rPr>
                <w:shd w:val="clear" w:color="auto" w:fill="FFFFFF"/>
                <w:lang w:val="vi-VN"/>
              </w:rPr>
              <w:t xml:space="preserve"> Trần Hồng Hà</w:t>
            </w:r>
            <w:r w:rsidRPr="00592C9A">
              <w:rPr>
                <w:shd w:val="clear" w:color="auto" w:fill="FFFFFF"/>
              </w:rPr>
              <w:t xml:space="preserve"> (để báo cáo);</w:t>
            </w:r>
            <w:r w:rsidRPr="00592C9A">
              <w:rPr>
                <w:shd w:val="clear" w:color="auto" w:fill="FFFFFF"/>
              </w:rPr>
              <w:br/>
              <w:t>- Ủy ban Xã hội của Quốc hội (để báo cáo);- Bộ trưởng (để báo cáo);</w:t>
            </w:r>
            <w:r w:rsidRPr="00592C9A">
              <w:rPr>
                <w:shd w:val="clear" w:color="auto" w:fill="FFFFFF"/>
              </w:rPr>
              <w:br/>
              <w:t>- Các Thứ trưởng (để phối hợp chỉ đạo);</w:t>
            </w:r>
            <w:r w:rsidRPr="00592C9A">
              <w:rPr>
                <w:shd w:val="clear" w:color="auto" w:fill="FFFFFF"/>
              </w:rPr>
              <w:br/>
              <w:t>- Văn phòng Chính phủ (Vụ KGVX, Công báo, Cổng TTĐT Chính phủ);</w:t>
            </w:r>
            <w:r w:rsidRPr="00592C9A">
              <w:rPr>
                <w:shd w:val="clear" w:color="auto" w:fill="FFFFFF"/>
              </w:rPr>
              <w:br/>
              <w:t>- Bộ Tư pháp (Cục Kiểm tra văn bản quy phạm pháp luật); Bộ Tài chính;</w:t>
            </w:r>
            <w:r w:rsidRPr="00592C9A">
              <w:rPr>
                <w:shd w:val="clear" w:color="auto" w:fill="FFFFFF"/>
              </w:rPr>
              <w:br/>
              <w:t>- Bảo hiểm xã hội Việt Nam;</w:t>
            </w:r>
            <w:r w:rsidRPr="00592C9A">
              <w:rPr>
                <w:shd w:val="clear" w:color="auto" w:fill="FFFFFF"/>
              </w:rPr>
              <w:br/>
              <w:t>- UBND các tỉnh, thành phố trực thuộc TW;</w:t>
            </w:r>
            <w:r w:rsidRPr="00592C9A">
              <w:rPr>
                <w:shd w:val="clear" w:color="auto" w:fill="FFFFFF"/>
              </w:rPr>
              <w:br/>
              <w:t>- Các đơn vị thuộc, trực thuộc Bộ Y tế;</w:t>
            </w:r>
            <w:r w:rsidRPr="00592C9A">
              <w:rPr>
                <w:shd w:val="clear" w:color="auto" w:fill="FFFFFF"/>
              </w:rPr>
              <w:br/>
              <w:t>- Sở Y tế các tỉnh, thành phố trực thuộc TW;</w:t>
            </w:r>
            <w:r w:rsidRPr="00592C9A">
              <w:rPr>
                <w:shd w:val="clear" w:color="auto" w:fill="FFFFFF"/>
              </w:rPr>
              <w:br/>
              <w:t>- Y tế các Bộ, ngành;</w:t>
            </w:r>
            <w:r w:rsidRPr="00592C9A">
              <w:rPr>
                <w:shd w:val="clear" w:color="auto" w:fill="FFFFFF"/>
              </w:rPr>
              <w:br/>
              <w:t>- Hiệp hội Bệnh viện tư nhân Việt Nam;</w:t>
            </w:r>
            <w:r w:rsidRPr="00592C9A">
              <w:rPr>
                <w:shd w:val="clear" w:color="auto" w:fill="FFFFFF"/>
              </w:rPr>
              <w:br/>
              <w:t>- Cổng Thông tin điện tử Bộ Y tế;</w:t>
            </w:r>
            <w:r w:rsidRPr="00592C9A">
              <w:rPr>
                <w:shd w:val="clear" w:color="auto" w:fill="FFFFFF"/>
              </w:rPr>
              <w:br/>
              <w:t>- Các cơ sở KCB trên toàn quốc (qua Cổng Thông tin điện tử Bộ Y tế);</w:t>
            </w:r>
            <w:r w:rsidRPr="00592C9A">
              <w:rPr>
                <w:shd w:val="clear" w:color="auto" w:fill="FFFFFF"/>
              </w:rPr>
              <w:br/>
              <w:t>- Lưu: VT, PC, BH (05).</w:t>
            </w:r>
          </w:p>
        </w:tc>
        <w:tc>
          <w:tcPr>
            <w:tcW w:w="4644" w:type="dxa"/>
            <w:shd w:val="clear" w:color="auto" w:fill="auto"/>
          </w:tcPr>
          <w:p w14:paraId="015CFF21" w14:textId="77777777" w:rsidR="00E977AA" w:rsidRPr="00592C9A" w:rsidRDefault="00E977AA" w:rsidP="0041065D">
            <w:pPr>
              <w:widowControl w:val="0"/>
              <w:spacing w:before="120" w:after="120"/>
              <w:jc w:val="center"/>
              <w:rPr>
                <w:b/>
                <w:bCs/>
                <w:sz w:val="28"/>
                <w:szCs w:val="28"/>
                <w:shd w:val="clear" w:color="auto" w:fill="FFFFFF"/>
              </w:rPr>
            </w:pPr>
            <w:r w:rsidRPr="00592C9A">
              <w:rPr>
                <w:b/>
                <w:bCs/>
                <w:sz w:val="28"/>
                <w:szCs w:val="28"/>
                <w:shd w:val="clear" w:color="auto" w:fill="FFFFFF"/>
              </w:rPr>
              <w:t>BỘ TRƯỞNG</w:t>
            </w:r>
            <w:r w:rsidRPr="00592C9A">
              <w:rPr>
                <w:b/>
                <w:bCs/>
                <w:sz w:val="28"/>
                <w:szCs w:val="28"/>
                <w:shd w:val="clear" w:color="auto" w:fill="FFFFFF"/>
              </w:rPr>
              <w:br/>
            </w:r>
          </w:p>
          <w:p w14:paraId="67B434D5" w14:textId="77777777" w:rsidR="00E977AA" w:rsidRPr="00592C9A" w:rsidRDefault="00E977AA" w:rsidP="0041065D">
            <w:pPr>
              <w:widowControl w:val="0"/>
              <w:spacing w:before="120" w:after="120"/>
              <w:jc w:val="center"/>
              <w:rPr>
                <w:sz w:val="28"/>
                <w:szCs w:val="28"/>
                <w:lang w:val="pt-BR"/>
              </w:rPr>
            </w:pPr>
            <w:r w:rsidRPr="00592C9A">
              <w:rPr>
                <w:b/>
                <w:bCs/>
                <w:shd w:val="clear" w:color="auto" w:fill="FFFFFF"/>
              </w:rPr>
              <w:br/>
            </w:r>
            <w:r w:rsidRPr="00592C9A">
              <w:rPr>
                <w:b/>
                <w:bCs/>
                <w:shd w:val="clear" w:color="auto" w:fill="FFFFFF"/>
              </w:rPr>
              <w:br/>
            </w:r>
            <w:r w:rsidRPr="00592C9A">
              <w:rPr>
                <w:b/>
                <w:bCs/>
                <w:shd w:val="clear" w:color="auto" w:fill="FFFFFF"/>
              </w:rPr>
              <w:br/>
            </w:r>
            <w:r w:rsidRPr="00592C9A">
              <w:rPr>
                <w:b/>
                <w:bCs/>
                <w:shd w:val="clear" w:color="auto" w:fill="FFFFFF"/>
              </w:rPr>
              <w:br/>
            </w:r>
            <w:r w:rsidRPr="00592C9A">
              <w:rPr>
                <w:b/>
                <w:bCs/>
                <w:shd w:val="clear" w:color="auto" w:fill="FFFFFF"/>
              </w:rPr>
              <w:br/>
            </w:r>
            <w:r w:rsidRPr="00592C9A">
              <w:rPr>
                <w:b/>
                <w:bCs/>
                <w:sz w:val="28"/>
                <w:szCs w:val="28"/>
                <w:shd w:val="clear" w:color="auto" w:fill="FFFFFF"/>
              </w:rPr>
              <w:t>Đào Hồng Lan</w:t>
            </w:r>
          </w:p>
        </w:tc>
      </w:tr>
    </w:tbl>
    <w:p w14:paraId="47F04312" w14:textId="77777777" w:rsidR="008F7889" w:rsidRPr="008F7889" w:rsidRDefault="008F7889" w:rsidP="00E977AA">
      <w:pPr>
        <w:tabs>
          <w:tab w:val="left" w:pos="720"/>
          <w:tab w:val="left" w:pos="6663"/>
        </w:tabs>
        <w:spacing w:before="120" w:after="120"/>
        <w:ind w:firstLine="720"/>
        <w:jc w:val="both"/>
        <w:rPr>
          <w:iCs/>
          <w:sz w:val="28"/>
          <w:szCs w:val="28"/>
        </w:rPr>
      </w:pPr>
    </w:p>
    <w:p w14:paraId="45833062" w14:textId="77777777" w:rsidR="008F7889" w:rsidRPr="008F7889" w:rsidRDefault="008F7889" w:rsidP="008F7889">
      <w:pPr>
        <w:tabs>
          <w:tab w:val="left" w:pos="720"/>
          <w:tab w:val="left" w:pos="6663"/>
        </w:tabs>
        <w:spacing w:before="120" w:line="264" w:lineRule="auto"/>
        <w:ind w:firstLine="720"/>
        <w:jc w:val="both"/>
        <w:rPr>
          <w:iCs/>
          <w:sz w:val="28"/>
          <w:szCs w:val="28"/>
        </w:rPr>
      </w:pPr>
    </w:p>
    <w:p w14:paraId="58021345" w14:textId="77777777" w:rsidR="008F7889" w:rsidRPr="008F7889" w:rsidRDefault="008F7889" w:rsidP="008F7889">
      <w:pPr>
        <w:tabs>
          <w:tab w:val="left" w:pos="720"/>
          <w:tab w:val="left" w:pos="6663"/>
        </w:tabs>
        <w:spacing w:before="120" w:line="264" w:lineRule="auto"/>
        <w:ind w:firstLine="720"/>
        <w:jc w:val="both"/>
        <w:rPr>
          <w:i/>
          <w:sz w:val="28"/>
          <w:szCs w:val="28"/>
        </w:rPr>
      </w:pPr>
    </w:p>
    <w:p w14:paraId="08468968" w14:textId="77777777" w:rsidR="00990F12" w:rsidRDefault="00990F12"/>
    <w:sectPr w:rsidR="00990F12" w:rsidSect="0092693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26"/>
    <w:rsid w:val="00285C8C"/>
    <w:rsid w:val="00427AF3"/>
    <w:rsid w:val="004B1BF1"/>
    <w:rsid w:val="00633226"/>
    <w:rsid w:val="008F7889"/>
    <w:rsid w:val="0092693D"/>
    <w:rsid w:val="00990F12"/>
    <w:rsid w:val="00B80AD9"/>
    <w:rsid w:val="00D47221"/>
    <w:rsid w:val="00E977AA"/>
    <w:rsid w:val="00F66EB7"/>
    <w:rsid w:val="00FC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39DA"/>
  <w15:chartTrackingRefBased/>
  <w15:docId w15:val="{8AE8C898-0739-40B1-B427-6F3EA2D3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2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33226"/>
    <w:pPr>
      <w:jc w:val="center"/>
    </w:pPr>
    <w:rPr>
      <w:rFonts w:ascii=".VnTimeH" w:hAnsi=".VnTimeH" w:cs=".VnTimeH"/>
      <w:b/>
      <w:bCs/>
      <w:sz w:val="28"/>
      <w:szCs w:val="28"/>
    </w:rPr>
  </w:style>
  <w:style w:type="character" w:customStyle="1" w:styleId="SubtitleChar">
    <w:name w:val="Subtitle Char"/>
    <w:basedOn w:val="DefaultParagraphFont"/>
    <w:link w:val="Subtitle"/>
    <w:rsid w:val="00633226"/>
    <w:rPr>
      <w:rFonts w:ascii=".VnTimeH" w:eastAsia="Times New Roman" w:hAnsi=".VnTimeH" w:cs=".VnTimeH"/>
      <w:b/>
      <w:bCs/>
      <w:sz w:val="28"/>
      <w:szCs w:val="28"/>
    </w:rPr>
  </w:style>
  <w:style w:type="character" w:customStyle="1" w:styleId="fontstyle01">
    <w:name w:val="fontstyle01"/>
    <w:rsid w:val="00633226"/>
    <w:rPr>
      <w:rFonts w:ascii="Times New Roman" w:hAnsi="Times New Roman" w:cs="Times New Roman" w:hint="default"/>
      <w:b w:val="0"/>
      <w:bCs w:val="0"/>
      <w:i w:val="0"/>
      <w:iCs w:val="0"/>
      <w:color w:val="000000"/>
      <w:sz w:val="28"/>
      <w:szCs w:val="28"/>
    </w:rPr>
  </w:style>
  <w:style w:type="character" w:customStyle="1" w:styleId="fontstyle21">
    <w:name w:val="fontstyle21"/>
    <w:rsid w:val="00633226"/>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8F7889"/>
    <w:pPr>
      <w:ind w:left="720"/>
      <w:contextualSpacing/>
    </w:pPr>
  </w:style>
  <w:style w:type="character" w:styleId="Hyperlink">
    <w:name w:val="Hyperlink"/>
    <w:basedOn w:val="DefaultParagraphFont"/>
    <w:uiPriority w:val="99"/>
    <w:unhideWhenUsed/>
    <w:rsid w:val="008F7889"/>
    <w:rPr>
      <w:color w:val="0563C1" w:themeColor="hyperlink"/>
      <w:u w:val="single"/>
    </w:rPr>
  </w:style>
  <w:style w:type="character" w:styleId="UnresolvedMention">
    <w:name w:val="Unresolved Mention"/>
    <w:basedOn w:val="DefaultParagraphFont"/>
    <w:uiPriority w:val="99"/>
    <w:semiHidden/>
    <w:unhideWhenUsed/>
    <w:rsid w:val="008F7889"/>
    <w:rPr>
      <w:color w:val="605E5C"/>
      <w:shd w:val="clear" w:color="auto" w:fill="E1DFDD"/>
    </w:rPr>
  </w:style>
  <w:style w:type="paragraph" w:styleId="NormalWeb">
    <w:name w:val="Normal (Web)"/>
    <w:basedOn w:val="Normal"/>
    <w:uiPriority w:val="99"/>
    <w:unhideWhenUsed/>
    <w:rsid w:val="00E977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392176">
      <w:bodyDiv w:val="1"/>
      <w:marLeft w:val="0"/>
      <w:marRight w:val="0"/>
      <w:marTop w:val="0"/>
      <w:marBottom w:val="0"/>
      <w:divBdr>
        <w:top w:val="none" w:sz="0" w:space="0" w:color="auto"/>
        <w:left w:val="none" w:sz="0" w:space="0" w:color="auto"/>
        <w:bottom w:val="none" w:sz="0" w:space="0" w:color="auto"/>
        <w:right w:val="none" w:sz="0" w:space="0" w:color="auto"/>
      </w:divBdr>
    </w:div>
    <w:div w:id="234707935">
      <w:bodyDiv w:val="1"/>
      <w:marLeft w:val="0"/>
      <w:marRight w:val="0"/>
      <w:marTop w:val="0"/>
      <w:marBottom w:val="0"/>
      <w:divBdr>
        <w:top w:val="none" w:sz="0" w:space="0" w:color="auto"/>
        <w:left w:val="none" w:sz="0" w:space="0" w:color="auto"/>
        <w:bottom w:val="none" w:sz="0" w:space="0" w:color="auto"/>
        <w:right w:val="none" w:sz="0" w:space="0" w:color="auto"/>
      </w:divBdr>
    </w:div>
    <w:div w:id="260603612">
      <w:bodyDiv w:val="1"/>
      <w:marLeft w:val="0"/>
      <w:marRight w:val="0"/>
      <w:marTop w:val="0"/>
      <w:marBottom w:val="0"/>
      <w:divBdr>
        <w:top w:val="none" w:sz="0" w:space="0" w:color="auto"/>
        <w:left w:val="none" w:sz="0" w:space="0" w:color="auto"/>
        <w:bottom w:val="none" w:sz="0" w:space="0" w:color="auto"/>
        <w:right w:val="none" w:sz="0" w:space="0" w:color="auto"/>
      </w:divBdr>
    </w:div>
    <w:div w:id="521017477">
      <w:bodyDiv w:val="1"/>
      <w:marLeft w:val="0"/>
      <w:marRight w:val="0"/>
      <w:marTop w:val="0"/>
      <w:marBottom w:val="0"/>
      <w:divBdr>
        <w:top w:val="none" w:sz="0" w:space="0" w:color="auto"/>
        <w:left w:val="none" w:sz="0" w:space="0" w:color="auto"/>
        <w:bottom w:val="none" w:sz="0" w:space="0" w:color="auto"/>
        <w:right w:val="none" w:sz="0" w:space="0" w:color="auto"/>
      </w:divBdr>
    </w:div>
    <w:div w:id="766733554">
      <w:bodyDiv w:val="1"/>
      <w:marLeft w:val="0"/>
      <w:marRight w:val="0"/>
      <w:marTop w:val="0"/>
      <w:marBottom w:val="0"/>
      <w:divBdr>
        <w:top w:val="none" w:sz="0" w:space="0" w:color="auto"/>
        <w:left w:val="none" w:sz="0" w:space="0" w:color="auto"/>
        <w:bottom w:val="none" w:sz="0" w:space="0" w:color="auto"/>
        <w:right w:val="none" w:sz="0" w:space="0" w:color="auto"/>
      </w:divBdr>
    </w:div>
    <w:div w:id="884097123">
      <w:bodyDiv w:val="1"/>
      <w:marLeft w:val="0"/>
      <w:marRight w:val="0"/>
      <w:marTop w:val="0"/>
      <w:marBottom w:val="0"/>
      <w:divBdr>
        <w:top w:val="none" w:sz="0" w:space="0" w:color="auto"/>
        <w:left w:val="none" w:sz="0" w:space="0" w:color="auto"/>
        <w:bottom w:val="none" w:sz="0" w:space="0" w:color="auto"/>
        <w:right w:val="none" w:sz="0" w:space="0" w:color="auto"/>
      </w:divBdr>
    </w:div>
    <w:div w:id="1060246043">
      <w:bodyDiv w:val="1"/>
      <w:marLeft w:val="0"/>
      <w:marRight w:val="0"/>
      <w:marTop w:val="0"/>
      <w:marBottom w:val="0"/>
      <w:divBdr>
        <w:top w:val="none" w:sz="0" w:space="0" w:color="auto"/>
        <w:left w:val="none" w:sz="0" w:space="0" w:color="auto"/>
        <w:bottom w:val="none" w:sz="0" w:space="0" w:color="auto"/>
        <w:right w:val="none" w:sz="0" w:space="0" w:color="auto"/>
      </w:divBdr>
    </w:div>
    <w:div w:id="1067338704">
      <w:bodyDiv w:val="1"/>
      <w:marLeft w:val="0"/>
      <w:marRight w:val="0"/>
      <w:marTop w:val="0"/>
      <w:marBottom w:val="0"/>
      <w:divBdr>
        <w:top w:val="none" w:sz="0" w:space="0" w:color="auto"/>
        <w:left w:val="none" w:sz="0" w:space="0" w:color="auto"/>
        <w:bottom w:val="none" w:sz="0" w:space="0" w:color="auto"/>
        <w:right w:val="none" w:sz="0" w:space="0" w:color="auto"/>
      </w:divBdr>
    </w:div>
    <w:div w:id="1323585343">
      <w:bodyDiv w:val="1"/>
      <w:marLeft w:val="0"/>
      <w:marRight w:val="0"/>
      <w:marTop w:val="0"/>
      <w:marBottom w:val="0"/>
      <w:divBdr>
        <w:top w:val="none" w:sz="0" w:space="0" w:color="auto"/>
        <w:left w:val="none" w:sz="0" w:space="0" w:color="auto"/>
        <w:bottom w:val="none" w:sz="0" w:space="0" w:color="auto"/>
        <w:right w:val="none" w:sz="0" w:space="0" w:color="auto"/>
      </w:divBdr>
    </w:div>
    <w:div w:id="182866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2024-10-14T10:36:00Z</dcterms:created>
  <dcterms:modified xsi:type="dcterms:W3CDTF">2024-10-14T11:16:00Z</dcterms:modified>
</cp:coreProperties>
</file>